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line="325" w:lineRule="auto"/>
        <w:rPr/>
      </w:pPr>
      <w:r/>
    </w:p>
    <w:p>
      <w:pPr>
        <w:pStyle w:val="BodyText"/>
        <w:spacing w:line="326" w:lineRule="auto"/>
        <w:rPr/>
      </w:pPr>
      <w:r/>
    </w:p>
    <w:p>
      <w:pPr>
        <w:spacing w:before="377" w:line="219" w:lineRule="auto"/>
        <w:outlineLvl w:val="0"/>
        <w:jc w:val="right"/>
        <w:rPr>
          <w:rFonts w:ascii="SimSun" w:hAnsi="SimSun" w:eastAsia="SimSun" w:cs="SimSun"/>
          <w:sz w:val="116"/>
          <w:szCs w:val="116"/>
        </w:rPr>
      </w:pPr>
      <w:r>
        <w:rPr>
          <w:rFonts w:ascii="SimSun" w:hAnsi="SimSun" w:eastAsia="SimSun" w:cs="SimSun"/>
          <w:sz w:val="116"/>
          <w:szCs w:val="116"/>
          <w:b/>
          <w:bCs/>
          <w:color w:val="F71000"/>
          <w:spacing w:val="-54"/>
          <w:w w:val="49"/>
        </w:rPr>
        <w:t>中共湘</w:t>
      </w:r>
      <w:r>
        <w:rPr>
          <w:rFonts w:ascii="SimSun" w:hAnsi="SimSun" w:eastAsia="SimSun" w:cs="SimSun"/>
          <w:sz w:val="116"/>
          <w:szCs w:val="116"/>
          <w:b/>
          <w:bCs/>
          <w:color w:val="F71000"/>
          <w:spacing w:val="-53"/>
          <w:w w:val="49"/>
        </w:rPr>
        <w:t>潭市委人才工作领导小组文</w:t>
      </w:r>
      <w:r>
        <w:rPr>
          <w:rFonts w:ascii="SimSun" w:hAnsi="SimSun" w:eastAsia="SimSun" w:cs="SimSun"/>
          <w:sz w:val="116"/>
          <w:szCs w:val="116"/>
          <w:b/>
          <w:bCs/>
          <w:color w:val="F71000"/>
          <w:spacing w:val="-50"/>
          <w:w w:val="49"/>
        </w:rPr>
        <w:t>件</w:t>
      </w:r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8" w:lineRule="auto"/>
        <w:rPr/>
      </w:pPr>
      <w:r/>
    </w:p>
    <w:p>
      <w:pPr>
        <w:pStyle w:val="BodyText"/>
        <w:spacing w:line="249" w:lineRule="auto"/>
        <w:rPr/>
      </w:pPr>
      <w:r/>
    </w:p>
    <w:p>
      <w:pPr>
        <w:ind w:left="2850"/>
        <w:spacing w:before="101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0"/>
        </w:rPr>
        <w:t>潭人才发〔2024〕3号</w:t>
      </w:r>
    </w:p>
    <w:p>
      <w:pPr>
        <w:ind w:firstLine="4220"/>
        <w:spacing w:before="146" w:line="400" w:lineRule="exact"/>
        <w:rPr/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95287</wp:posOffset>
            </wp:positionH>
            <wp:positionV relativeFrom="paragraph">
              <wp:posOffset>207371</wp:posOffset>
            </wp:positionV>
            <wp:extent cx="2501880" cy="19034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501880" cy="19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3009904</wp:posOffset>
            </wp:positionH>
            <wp:positionV relativeFrom="paragraph">
              <wp:posOffset>213681</wp:posOffset>
            </wp:positionV>
            <wp:extent cx="2482915" cy="19034"/>
            <wp:effectExtent l="0" t="0" r="0" b="0"/>
            <wp:wrapNone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82915" cy="190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-7"/>
        </w:rPr>
        <w:drawing>
          <wp:inline distT="0" distB="0" distL="0" distR="0">
            <wp:extent cx="234931" cy="253968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34931" cy="25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pStyle w:val="BodyText"/>
        <w:spacing w:line="241" w:lineRule="auto"/>
        <w:rPr/>
      </w:pPr>
      <w:r/>
    </w:p>
    <w:p>
      <w:pPr>
        <w:ind w:left="446" w:right="245" w:hanging="200"/>
        <w:spacing w:before="143" w:line="295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-8"/>
        </w:rPr>
        <w:t>关于印发《湘潭市市直公立医院高层次人才</w:t>
      </w:r>
      <w:r>
        <w:rPr>
          <w:rFonts w:ascii="SimSun" w:hAnsi="SimSun" w:eastAsia="SimSun" w:cs="SimSun"/>
          <w:sz w:val="44"/>
          <w:szCs w:val="44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  <w:spacing w:val="18"/>
        </w:rPr>
        <w:t>“引育用留”若干措施(试行)》的通知</w:t>
      </w:r>
    </w:p>
    <w:p>
      <w:pPr>
        <w:pStyle w:val="BodyText"/>
        <w:spacing w:line="317" w:lineRule="auto"/>
        <w:rPr/>
      </w:pPr>
      <w:r/>
    </w:p>
    <w:p>
      <w:pPr>
        <w:pStyle w:val="BodyText"/>
        <w:spacing w:line="317" w:lineRule="auto"/>
        <w:rPr/>
      </w:pPr>
      <w:r/>
    </w:p>
    <w:p>
      <w:pPr>
        <w:spacing w:before="101" w:line="22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各市直单位、各市直公立医院：</w:t>
      </w:r>
    </w:p>
    <w:p>
      <w:pPr>
        <w:ind w:firstLine="575"/>
        <w:spacing w:before="210" w:line="369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-2"/>
        </w:rPr>
        <w:t>《湘潭市市直公立医院高层次人才“引育用留”若干措施(试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行)》经市委常委会会议审议通过，现印发给你们，请结合实际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贯彻执行。</w:t>
      </w:r>
    </w:p>
    <w:p>
      <w:pPr>
        <w:pStyle w:val="BodyText"/>
        <w:spacing w:line="260" w:lineRule="auto"/>
        <w:rPr/>
      </w:pPr>
      <w:r/>
    </w:p>
    <w:p>
      <w:pPr>
        <w:pStyle w:val="BodyText"/>
        <w:spacing w:line="260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pStyle w:val="BodyText"/>
        <w:spacing w:line="261" w:lineRule="auto"/>
        <w:rPr/>
      </w:pPr>
      <w:r/>
    </w:p>
    <w:p>
      <w:pPr>
        <w:ind w:left="3820"/>
        <w:spacing w:before="101" w:line="220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3048065</wp:posOffset>
            </wp:positionH>
            <wp:positionV relativeFrom="paragraph">
              <wp:posOffset>-498890</wp:posOffset>
            </wp:positionV>
            <wp:extent cx="1581122" cy="1612885"/>
            <wp:effectExtent l="0" t="0" r="0" b="0"/>
            <wp:wrapNone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81122" cy="1612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FangSong" w:hAnsi="FangSong" w:eastAsia="FangSong" w:cs="FangSong"/>
          <w:sz w:val="31"/>
          <w:szCs w:val="31"/>
          <w:spacing w:val="3"/>
        </w:rPr>
        <w:t>中共湘潭市委人才工作领导小组</w:t>
      </w:r>
    </w:p>
    <w:p>
      <w:pPr>
        <w:ind w:left="4850"/>
        <w:spacing w:before="324" w:line="22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51"/>
        </w:rPr>
        <w:t>2024年7月3日</w:t>
      </w:r>
    </w:p>
    <w:p>
      <w:pPr>
        <w:spacing w:line="222" w:lineRule="auto"/>
        <w:sectPr>
          <w:pgSz w:w="11900" w:h="16840"/>
          <w:pgMar w:top="1431" w:right="1492" w:bottom="0" w:left="1619" w:header="0" w:footer="0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262" w:lineRule="auto"/>
        <w:rPr/>
      </w:pPr>
      <w:r/>
    </w:p>
    <w:p>
      <w:pPr>
        <w:ind w:left="225"/>
        <w:spacing w:before="133" w:line="219" w:lineRule="auto"/>
        <w:rPr>
          <w:rFonts w:ascii="SimSun" w:hAnsi="SimSun" w:eastAsia="SimSun" w:cs="SimSun"/>
          <w:sz w:val="41"/>
          <w:szCs w:val="41"/>
        </w:rPr>
      </w:pPr>
      <w:r>
        <w:rPr>
          <w:rFonts w:ascii="SimSun" w:hAnsi="SimSun" w:eastAsia="SimSun" w:cs="SimSun"/>
          <w:sz w:val="41"/>
          <w:szCs w:val="41"/>
          <w:b/>
          <w:bCs/>
          <w:spacing w:val="16"/>
        </w:rPr>
        <w:t>湘潭市市直公立医院高层次人才“引育用留”</w:t>
      </w:r>
    </w:p>
    <w:p>
      <w:pPr>
        <w:ind w:left="2736"/>
        <w:spacing w:before="74" w:line="219" w:lineRule="auto"/>
        <w:rPr>
          <w:rFonts w:ascii="SimSun" w:hAnsi="SimSun" w:eastAsia="SimSun" w:cs="SimSun"/>
          <w:sz w:val="45"/>
          <w:szCs w:val="45"/>
        </w:rPr>
      </w:pPr>
      <w:r>
        <w:rPr>
          <w:rFonts w:ascii="SimSun" w:hAnsi="SimSun" w:eastAsia="SimSun" w:cs="SimSun"/>
          <w:sz w:val="45"/>
          <w:szCs w:val="45"/>
          <w:b/>
          <w:bCs/>
          <w:spacing w:val="18"/>
        </w:rPr>
        <w:t>若干措施(试行)</w:t>
      </w:r>
    </w:p>
    <w:p>
      <w:pPr>
        <w:pStyle w:val="BodyText"/>
        <w:spacing w:line="242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pStyle w:val="BodyText"/>
        <w:spacing w:line="243" w:lineRule="auto"/>
        <w:rPr/>
      </w:pPr>
      <w:r/>
    </w:p>
    <w:p>
      <w:pPr>
        <w:ind w:right="89" w:firstLine="689"/>
        <w:spacing w:before="101" w:line="36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为进一步加强市直公立医院高层次人才“引育用留”工作和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人才队伍建设，推进公立医院高质量发展，特制定如下措施：</w:t>
      </w:r>
    </w:p>
    <w:p>
      <w:pPr>
        <w:ind w:right="68" w:firstLine="694"/>
        <w:spacing w:before="3" w:line="35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13"/>
        </w:rPr>
        <w:t>第一条大力引进高层次人才</w:t>
      </w:r>
      <w:r>
        <w:rPr>
          <w:rFonts w:ascii="FangSong" w:hAnsi="FangSong" w:eastAsia="FangSong" w:cs="FangSong"/>
          <w:sz w:val="31"/>
          <w:szCs w:val="31"/>
          <w:b/>
          <w:bCs/>
          <w:spacing w:val="13"/>
        </w:rPr>
        <w:t>。</w:t>
      </w:r>
      <w:r>
        <w:rPr>
          <w:rFonts w:ascii="FangSong" w:hAnsi="FangSong" w:eastAsia="FangSong" w:cs="FangSong"/>
          <w:sz w:val="31"/>
          <w:szCs w:val="31"/>
          <w:spacing w:val="13"/>
        </w:rPr>
        <w:t>加大从市域外引进</w:t>
      </w:r>
      <w:r>
        <w:rPr>
          <w:rFonts w:ascii="FangSong" w:hAnsi="FangSong" w:eastAsia="FangSong" w:cs="FangSong"/>
          <w:sz w:val="31"/>
          <w:szCs w:val="31"/>
          <w:spacing w:val="12"/>
        </w:rPr>
        <w:t>高层次人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才力度，高层次人才是指学科领军人才和急需紧缺人才。其中：</w:t>
      </w:r>
    </w:p>
    <w:p>
      <w:pPr>
        <w:ind w:right="106" w:firstLine="689"/>
        <w:spacing w:before="23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"/>
        </w:rPr>
        <w:t>学科领军人才基本条件为：取得博士学位且具有副高级及以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上专业技术职称。同时符合以下条件：学术造诣精深，业务能力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5"/>
        </w:rPr>
        <w:t>在本省本专业领域有一定的影响力；主持过省</w:t>
      </w:r>
      <w:r>
        <w:rPr>
          <w:rFonts w:ascii="FangSong" w:hAnsi="FangSong" w:eastAsia="FangSong" w:cs="FangSong"/>
          <w:sz w:val="31"/>
          <w:szCs w:val="31"/>
          <w:spacing w:val="14"/>
        </w:rPr>
        <w:t>级及以上科研课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题；一般应有三级医院工作经历；年龄一般在50周岁以下，取得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6"/>
        </w:rPr>
        <w:t>省级及以上人才称号者可视情况放宽年龄条件。</w:t>
      </w:r>
    </w:p>
    <w:p>
      <w:pPr>
        <w:ind w:firstLine="689"/>
        <w:spacing w:before="13" w:line="356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急需紧缺人才基本条件为：取得博士学位或</w:t>
      </w:r>
      <w:r>
        <w:rPr>
          <w:rFonts w:ascii="FangSong" w:hAnsi="FangSong" w:eastAsia="FangSong" w:cs="FangSong"/>
          <w:sz w:val="31"/>
          <w:szCs w:val="31"/>
          <w:spacing w:val="1"/>
        </w:rPr>
        <w:t>取得全日制硕士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研究生学历(学位)且具有副高级及以上专业技术职称。同时符</w:t>
      </w:r>
      <w:r>
        <w:rPr>
          <w:rFonts w:ascii="FangSong" w:hAnsi="FangSong" w:eastAsia="FangSong" w:cs="FangSong"/>
          <w:sz w:val="31"/>
          <w:szCs w:val="31"/>
          <w:spacing w:val="1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合以下条件：具有一定的学术造诣，参与过市级及以上科研课题；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年龄一般在45周岁以下。</w:t>
      </w:r>
    </w:p>
    <w:p>
      <w:pPr>
        <w:ind w:right="123" w:firstLine="654"/>
        <w:spacing w:before="23" w:line="294" w:lineRule="auto"/>
        <w:rPr>
          <w:rFonts w:ascii="FangSong" w:hAnsi="FangSong" w:eastAsia="FangSong" w:cs="FangSong"/>
          <w:sz w:val="31"/>
          <w:szCs w:val="31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927112</wp:posOffset>
            </wp:positionH>
            <wp:positionV relativeFrom="paragraph">
              <wp:posOffset>194117</wp:posOffset>
            </wp:positionV>
            <wp:extent cx="1562075" cy="1556537"/>
            <wp:effectExtent l="0" t="0" r="0" b="0"/>
            <wp:wrapNone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1562075" cy="15565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SimHei" w:hAnsi="SimHei" w:eastAsia="SimHei" w:cs="SimHei"/>
          <w:sz w:val="31"/>
          <w:szCs w:val="31"/>
          <w:b/>
          <w:bCs/>
          <w:spacing w:val="13"/>
        </w:rPr>
        <w:t>第二条实施保底年薪制</w:t>
      </w:r>
      <w:r>
        <w:rPr>
          <w:rFonts w:ascii="FangSong" w:hAnsi="FangSong" w:eastAsia="FangSong" w:cs="FangSong"/>
          <w:sz w:val="31"/>
          <w:szCs w:val="31"/>
          <w:b/>
          <w:bCs/>
          <w:spacing w:val="13"/>
        </w:rPr>
        <w:t>。</w:t>
      </w:r>
      <w:r>
        <w:rPr>
          <w:rFonts w:ascii="FangSong" w:hAnsi="FangSong" w:eastAsia="FangSong" w:cs="FangSong"/>
          <w:sz w:val="31"/>
          <w:szCs w:val="31"/>
          <w:spacing w:val="13"/>
        </w:rPr>
        <w:t>对引进的高层次人才采取“一人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一策”、“一事一议”的方式确定保底年薪。</w:t>
      </w:r>
    </w:p>
    <w:p>
      <w:pPr>
        <w:ind w:right="122" w:firstLine="649"/>
        <w:spacing w:before="218" w:line="31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4"/>
        </w:rPr>
        <w:t>第三条实行安居保障</w:t>
      </w:r>
      <w:r>
        <w:rPr>
          <w:rFonts w:ascii="FangSong" w:hAnsi="FangSong" w:eastAsia="FangSong" w:cs="FangSong"/>
          <w:sz w:val="31"/>
          <w:szCs w:val="31"/>
          <w:spacing w:val="14"/>
        </w:rPr>
        <w:t>。对引进的学科领军人才和急需紧缺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2"/>
        </w:rPr>
        <w:t>人才分别给予80-90万元、50-70万元的安家补贴。最低服务年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限为5年。鼓励医院为引进的高层次人才免费提供不超过</w:t>
      </w:r>
      <w:r>
        <w:rPr>
          <w:rFonts w:ascii="FangSong" w:hAnsi="FangSong" w:eastAsia="FangSong" w:cs="FangSong"/>
          <w:sz w:val="31"/>
          <w:szCs w:val="31"/>
          <w:spacing w:val="13"/>
        </w:rPr>
        <w:t>3年的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1"/>
        </w:rPr>
        <w:t>周转用房。</w:t>
      </w:r>
    </w:p>
    <w:p>
      <w:pPr>
        <w:spacing w:line="317" w:lineRule="auto"/>
        <w:sectPr>
          <w:footerReference w:type="default" r:id="rId5"/>
          <w:pgSz w:w="11900" w:h="16840"/>
          <w:pgMar w:top="1431" w:right="1527" w:bottom="1492" w:left="1480" w:header="0" w:footer="1212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83" w:lineRule="auto"/>
        <w:rPr/>
      </w:pPr>
      <w:r/>
    </w:p>
    <w:p>
      <w:pPr>
        <w:ind w:right="243" w:firstLine="649"/>
        <w:spacing w:before="101" w:line="32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</w:rPr>
        <w:t>第四条优化引进方式。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高层次人才可采取直接考核的方式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通过公开招聘、流动调配等渠道引进。对临床能力和学术</w:t>
      </w:r>
      <w:r>
        <w:rPr>
          <w:rFonts w:ascii="FangSong" w:hAnsi="FangSong" w:eastAsia="FangSong" w:cs="FangSong"/>
          <w:sz w:val="31"/>
          <w:szCs w:val="31"/>
          <w:spacing w:val="2"/>
        </w:rPr>
        <w:t>水平在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全国具有较大影响，获得有国家级人才项目工程称</w:t>
      </w:r>
      <w:r>
        <w:rPr>
          <w:rFonts w:ascii="FangSong" w:hAnsi="FangSong" w:eastAsia="FangSong" w:cs="FangSong"/>
          <w:sz w:val="31"/>
          <w:szCs w:val="31"/>
          <w:spacing w:val="2"/>
        </w:rPr>
        <w:t>号的高层次人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才，通过“一事一议”方式面议引进，可突破相关奖补标准。</w:t>
      </w:r>
    </w:p>
    <w:p>
      <w:pPr>
        <w:ind w:firstLine="649"/>
        <w:spacing w:before="240" w:line="32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第五条加大柔性引才力度。</w:t>
      </w:r>
      <w:r>
        <w:rPr>
          <w:rFonts w:ascii="FangSong" w:hAnsi="FangSong" w:eastAsia="FangSong" w:cs="FangSong"/>
          <w:sz w:val="31"/>
          <w:szCs w:val="31"/>
          <w:spacing w:val="8"/>
        </w:rPr>
        <w:t>通过设立特聘专家、技</w:t>
      </w:r>
      <w:r>
        <w:rPr>
          <w:rFonts w:ascii="FangSong" w:hAnsi="FangSong" w:eastAsia="FangSong" w:cs="FangSong"/>
          <w:sz w:val="31"/>
          <w:szCs w:val="31"/>
          <w:spacing w:val="7"/>
        </w:rPr>
        <w:t>术顾问、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1"/>
        </w:rPr>
        <w:t>技术合作等形式，采取“一事一议”方式柔性引进院士(团队)、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国家级知名专家等顶尖人才、高端人才入潭服务。柔性引才最低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3"/>
        </w:rPr>
        <w:t>服务年限不少于3年，按每年不低于30万元</w:t>
      </w:r>
      <w:r>
        <w:rPr>
          <w:rFonts w:ascii="FangSong" w:hAnsi="FangSong" w:eastAsia="FangSong" w:cs="FangSong"/>
          <w:sz w:val="31"/>
          <w:szCs w:val="31"/>
          <w:spacing w:val="12"/>
        </w:rPr>
        <w:t>给予人才资金补助。</w:t>
      </w:r>
    </w:p>
    <w:p>
      <w:pPr>
        <w:ind w:right="120" w:firstLine="649"/>
        <w:spacing w:before="238" w:line="312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第六条提供职业发展平台。</w:t>
      </w:r>
      <w:r>
        <w:rPr>
          <w:rFonts w:ascii="SimHei" w:hAnsi="SimHei" w:eastAsia="SimHei" w:cs="SimHei"/>
          <w:sz w:val="31"/>
          <w:szCs w:val="31"/>
          <w:spacing w:val="-29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对引进的学科领军人才，符合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条件的，可担任临床科室负责人职务。在办理专业技术岗位聘用</w:t>
      </w:r>
      <w:r>
        <w:rPr>
          <w:rFonts w:ascii="FangSong" w:hAnsi="FangSong" w:eastAsia="FangSong" w:cs="FangSong"/>
          <w:sz w:val="31"/>
          <w:szCs w:val="31"/>
          <w:spacing w:val="9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-3"/>
        </w:rPr>
        <w:t>手续时，可特设岗位，首次聘用不受专业技术</w:t>
      </w:r>
      <w:r>
        <w:rPr>
          <w:rFonts w:ascii="FangSong" w:hAnsi="FangSong" w:eastAsia="FangSong" w:cs="FangSong"/>
          <w:sz w:val="31"/>
          <w:szCs w:val="31"/>
          <w:spacing w:val="-4"/>
        </w:rPr>
        <w:t>岗位结构比例限制。</w:t>
      </w:r>
    </w:p>
    <w:p>
      <w:pPr>
        <w:ind w:right="222" w:firstLine="649"/>
        <w:spacing w:before="247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第七条保障配偶就业。</w:t>
      </w:r>
      <w:r>
        <w:rPr>
          <w:rFonts w:ascii="SimHei" w:hAnsi="SimHei" w:eastAsia="SimHei" w:cs="SimHei"/>
          <w:sz w:val="31"/>
          <w:szCs w:val="31"/>
          <w:spacing w:val="-2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对引进的高层次人才配偶坚持双向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选择为主、统筹调配为辅的原则安排就业。属机关事业单位在编</w:t>
      </w:r>
      <w:r>
        <w:rPr>
          <w:rFonts w:ascii="FangSong" w:hAnsi="FangSong" w:eastAsia="FangSong" w:cs="FangSong"/>
          <w:sz w:val="31"/>
          <w:szCs w:val="31"/>
          <w:spacing w:val="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人员的，根据个人情况和接收单位意向，由市卫健委牵头汇总有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关情况，市委人才办、市委组织部、市委编办、市人社局等部门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协调解决流动调配问题。属其他单位的，由引进人才所在医院协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调解决就业问题。</w:t>
      </w:r>
    </w:p>
    <w:p>
      <w:pPr>
        <w:ind w:right="232" w:firstLine="654"/>
        <w:spacing w:before="243" w:line="31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7"/>
        </w:rPr>
        <w:t>第八条提供父母养老服务。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对引进的高层次人</w:t>
      </w:r>
      <w:r>
        <w:rPr>
          <w:rFonts w:ascii="FangSong" w:hAnsi="FangSong" w:eastAsia="FangSong" w:cs="FangSong"/>
          <w:sz w:val="31"/>
          <w:szCs w:val="31"/>
          <w:spacing w:val="6"/>
        </w:rPr>
        <w:t>才和A、B、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10"/>
        </w:rPr>
        <w:t>C、D</w:t>
      </w:r>
      <w:r>
        <w:rPr>
          <w:rFonts w:ascii="SimSun" w:hAnsi="SimSun" w:eastAsia="SimSun" w:cs="SimSun"/>
          <w:sz w:val="31"/>
          <w:szCs w:val="31"/>
          <w:spacing w:val="-4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类人才父母从市域外来潭养老，每年发放5000元来潭居家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养老消费券。实施时间两年。</w:t>
      </w:r>
    </w:p>
    <w:p>
      <w:pPr>
        <w:ind w:right="117" w:firstLine="654"/>
        <w:spacing w:before="206" w:line="29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7"/>
        </w:rPr>
        <w:t>第九条保障子女入学。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对</w:t>
      </w:r>
      <w:r>
        <w:rPr>
          <w:rFonts w:ascii="FangSong" w:hAnsi="FangSong" w:eastAsia="FangSong" w:cs="FangSong"/>
          <w:sz w:val="31"/>
          <w:szCs w:val="31"/>
          <w:spacing w:val="7"/>
        </w:rPr>
        <w:t xml:space="preserve"> </w:t>
      </w:r>
      <w:r>
        <w:rPr>
          <w:rFonts w:ascii="SimSun" w:hAnsi="SimSun" w:eastAsia="SimSun" w:cs="SimSun"/>
          <w:sz w:val="31"/>
          <w:szCs w:val="31"/>
          <w:spacing w:val="7"/>
        </w:rPr>
        <w:t>A、B </w:t>
      </w:r>
      <w:r>
        <w:rPr>
          <w:rFonts w:ascii="FangSong" w:hAnsi="FangSong" w:eastAsia="FangSong" w:cs="FangSong"/>
          <w:sz w:val="31"/>
          <w:szCs w:val="31"/>
          <w:spacing w:val="7"/>
        </w:rPr>
        <w:t>类人才</w:t>
      </w:r>
      <w:r>
        <w:rPr>
          <w:rFonts w:ascii="FangSong" w:hAnsi="FangSong" w:eastAsia="FangSong" w:cs="FangSong"/>
          <w:sz w:val="31"/>
          <w:szCs w:val="31"/>
          <w:spacing w:val="6"/>
        </w:rPr>
        <w:t>直系亲属就读幼儿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园、义务教育阶段学校和普通高中学校，根据人才</w:t>
      </w:r>
      <w:r>
        <w:rPr>
          <w:rFonts w:ascii="FangSong" w:hAnsi="FangSong" w:eastAsia="FangSong" w:cs="FangSong"/>
          <w:sz w:val="31"/>
          <w:szCs w:val="31"/>
          <w:spacing w:val="-4"/>
        </w:rPr>
        <w:t>意愿优先安排。</w:t>
      </w:r>
    </w:p>
    <w:p>
      <w:pPr>
        <w:spacing w:line="293" w:lineRule="auto"/>
        <w:sectPr>
          <w:footerReference w:type="default" r:id="rId7"/>
          <w:pgSz w:w="11900" w:h="16840"/>
          <w:pgMar w:top="1431" w:right="1314" w:bottom="1486" w:left="1569" w:header="0" w:footer="120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55" w:lineRule="auto"/>
        <w:rPr/>
      </w:pPr>
      <w:r/>
    </w:p>
    <w:p>
      <w:pPr>
        <w:ind w:right="67"/>
        <w:spacing w:before="101" w:line="363" w:lineRule="auto"/>
        <w:jc w:val="both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对引进的学科领军人才和</w:t>
      </w:r>
      <w:r>
        <w:rPr>
          <w:rFonts w:ascii="Times New Roman" w:hAnsi="Times New Roman" w:eastAsia="Times New Roman" w:cs="Times New Roman"/>
          <w:sz w:val="31"/>
          <w:szCs w:val="31"/>
          <w:spacing w:val="3"/>
        </w:rPr>
        <w:t>C</w:t>
      </w:r>
      <w:r>
        <w:rPr>
          <w:rFonts w:ascii="Times New Roman" w:hAnsi="Times New Roman" w:eastAsia="Times New Roman" w:cs="Times New Roman"/>
          <w:sz w:val="31"/>
          <w:szCs w:val="31"/>
          <w:spacing w:val="-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类人才子女就读幼儿园、义务教育阶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段学校，根据人才意愿优先安排。</w:t>
      </w:r>
      <w:r>
        <w:rPr>
          <w:rFonts w:ascii="SimSun" w:hAnsi="SimSun" w:eastAsia="SimSun" w:cs="SimSun"/>
          <w:sz w:val="31"/>
          <w:szCs w:val="31"/>
          <w:spacing w:val="4"/>
        </w:rPr>
        <w:t>D</w:t>
      </w:r>
      <w:r>
        <w:rPr>
          <w:rFonts w:ascii="SimSun" w:hAnsi="SimSun" w:eastAsia="SimSun" w:cs="SimSun"/>
          <w:sz w:val="31"/>
          <w:szCs w:val="31"/>
          <w:spacing w:val="-5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类人才子女就读幼儿园、义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务教育阶段学校，根据人才意愿和实际情况，由户口或居住所在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地教育行政部门就近统筹安排。</w:t>
      </w:r>
    </w:p>
    <w:p>
      <w:pPr>
        <w:ind w:right="23" w:firstLine="654"/>
        <w:spacing w:before="9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7"/>
        </w:rPr>
        <w:t>第十条鼓励科研创新。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鼓励开展科研创新，及时解决科研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所需的实验设备及办公设施。对申报国、省级科研项目并按期结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0"/>
        </w:rPr>
        <w:t>题的，分别给予10万元、5万元科研项目奖励。获得科研项目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奖励后最低服务年限为5年。</w:t>
      </w:r>
    </w:p>
    <w:p>
      <w:pPr>
        <w:ind w:right="29" w:firstLine="654"/>
        <w:spacing w:before="233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4"/>
        </w:rPr>
        <w:t>第十一条支持申报人才工程项目。</w:t>
      </w:r>
      <w:r>
        <w:rPr>
          <w:rFonts w:ascii="SimHei" w:hAnsi="SimHei" w:eastAsia="SimHei" w:cs="SimHei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对通过人才工程申报，</w:t>
      </w:r>
      <w:r>
        <w:rPr>
          <w:rFonts w:ascii="FangSong" w:hAnsi="FangSong" w:eastAsia="FangSong" w:cs="FangSong"/>
          <w:sz w:val="31"/>
          <w:szCs w:val="31"/>
          <w:spacing w:val="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入选国家级人才工程项目的，给予10万元</w:t>
      </w:r>
      <w:r>
        <w:rPr>
          <w:rFonts w:ascii="FangSong" w:hAnsi="FangSong" w:eastAsia="FangSong" w:cs="FangSong"/>
          <w:sz w:val="31"/>
          <w:szCs w:val="31"/>
          <w:spacing w:val="13"/>
        </w:rPr>
        <w:t>奖励；入选省级人才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工程项目的，给予5万元奖励。获得人才工程项目奖励后最低服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2"/>
        </w:rPr>
        <w:t>务年限为5年。</w:t>
      </w:r>
    </w:p>
    <w:p>
      <w:pPr>
        <w:ind w:firstLine="654"/>
        <w:spacing w:before="243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7"/>
        </w:rPr>
        <w:t>第十二条鼓励学历提升。</w:t>
      </w:r>
      <w:r>
        <w:rPr>
          <w:rFonts w:ascii="SimHei" w:hAnsi="SimHei" w:eastAsia="SimHei" w:cs="SimHei"/>
          <w:sz w:val="31"/>
          <w:szCs w:val="31"/>
          <w:spacing w:val="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对工作期满出站并取得博士后证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3"/>
        </w:rPr>
        <w:t>书的，给予10万元奖励；对在职攻读并取得国家认可的博士学</w:t>
      </w:r>
      <w:r>
        <w:rPr>
          <w:rFonts w:ascii="FangSong" w:hAnsi="FangSong" w:eastAsia="FangSong" w:cs="FangSong"/>
          <w:sz w:val="31"/>
          <w:szCs w:val="31"/>
          <w:spacing w:val="1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6"/>
        </w:rPr>
        <w:t>位的，给予5万元奖励。获得学历提升奖励</w:t>
      </w:r>
      <w:r>
        <w:rPr>
          <w:rFonts w:ascii="FangSong" w:hAnsi="FangSong" w:eastAsia="FangSong" w:cs="FangSong"/>
          <w:sz w:val="31"/>
          <w:szCs w:val="31"/>
          <w:spacing w:val="15"/>
        </w:rPr>
        <w:t>后最低服务年限为5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4"/>
        </w:rPr>
        <w:t>年。</w:t>
      </w:r>
    </w:p>
    <w:p>
      <w:pPr>
        <w:ind w:right="29" w:firstLine="654"/>
        <w:spacing w:before="245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5"/>
        </w:rPr>
        <w:t>第十三条实施医卫名家培育工程。</w:t>
      </w:r>
      <w:r>
        <w:rPr>
          <w:rFonts w:ascii="SimHei" w:hAnsi="SimHei" w:eastAsia="SimHei" w:cs="SimHei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选拔医卫名家培育对象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4"/>
        </w:rPr>
        <w:t>50名，在培育期内实行动态管理。根据考核结果，每年分别给</w:t>
      </w:r>
      <w:r>
        <w:rPr>
          <w:rFonts w:ascii="FangSong" w:hAnsi="FangSong" w:eastAsia="FangSong" w:cs="FangSong"/>
          <w:sz w:val="31"/>
          <w:szCs w:val="31"/>
          <w:spacing w:val="1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9"/>
        </w:rPr>
        <w:t>予医卫高层次人才培育对象、医卫骨干人才培育对象培育经费5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-3"/>
        </w:rPr>
        <w:t>万元/人、3万元/人。</w:t>
      </w:r>
    </w:p>
    <w:p>
      <w:pPr>
        <w:ind w:right="27" w:firstLine="654"/>
        <w:spacing w:before="231" w:line="286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6"/>
        </w:rPr>
        <w:t>第十四条大力推进人才进修培训。</w:t>
      </w:r>
      <w:r>
        <w:rPr>
          <w:rFonts w:ascii="SimHei" w:hAnsi="SimHei" w:eastAsia="SimHei" w:cs="SimHei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根据人才专业方向以及</w:t>
      </w:r>
      <w:r>
        <w:rPr>
          <w:rFonts w:ascii="FangSong" w:hAnsi="FangSong" w:eastAsia="FangSong" w:cs="FangSong"/>
          <w:sz w:val="31"/>
          <w:szCs w:val="31"/>
          <w:spacing w:val="17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医院临床需求、人才梯队建设等情况，制定清晰、具体</w:t>
      </w:r>
      <w:r>
        <w:rPr>
          <w:rFonts w:ascii="FangSong" w:hAnsi="FangSong" w:eastAsia="FangSong" w:cs="FangSong"/>
          <w:sz w:val="31"/>
          <w:szCs w:val="31"/>
          <w:spacing w:val="2"/>
        </w:rPr>
        <w:t>的人才进</w:t>
      </w:r>
    </w:p>
    <w:p>
      <w:pPr>
        <w:spacing w:line="286" w:lineRule="auto"/>
        <w:sectPr>
          <w:footerReference w:type="default" r:id="rId8"/>
          <w:pgSz w:w="11900" w:h="16840"/>
          <w:pgMar w:top="1431" w:right="1589" w:bottom="1482" w:left="1499" w:header="0" w:footer="1203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86" w:lineRule="auto"/>
        <w:rPr/>
      </w:pPr>
      <w:r/>
    </w:p>
    <w:p>
      <w:pPr>
        <w:ind w:right="283"/>
        <w:spacing w:before="101" w:line="357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"/>
        </w:rPr>
        <w:t>修培训计划，切实加大赴国内外知名医疗机构、科研院所进修培</w:t>
      </w:r>
      <w:r>
        <w:rPr>
          <w:rFonts w:ascii="FangSong" w:hAnsi="FangSong" w:eastAsia="FangSong" w:cs="FangSong"/>
          <w:sz w:val="31"/>
          <w:szCs w:val="31"/>
          <w:spacing w:val="1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训力度，并给予培训经费支持。</w:t>
      </w:r>
    </w:p>
    <w:p>
      <w:pPr>
        <w:ind w:right="127" w:firstLine="629"/>
        <w:spacing w:before="3" w:line="329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23"/>
        </w:rPr>
        <w:t>第十五条着力建设重点学科(专科)</w:t>
      </w:r>
      <w:r>
        <w:rPr>
          <w:rFonts w:ascii="SimHei" w:hAnsi="SimHei" w:eastAsia="SimHei" w:cs="SimHei"/>
          <w:sz w:val="31"/>
          <w:szCs w:val="31"/>
          <w:spacing w:val="23"/>
        </w:rPr>
        <w:t>。</w:t>
      </w:r>
      <w:r>
        <w:rPr>
          <w:rFonts w:ascii="SimHei" w:hAnsi="SimHei" w:eastAsia="SimHei" w:cs="SimHei"/>
          <w:sz w:val="31"/>
          <w:szCs w:val="31"/>
          <w:spacing w:val="-6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3"/>
        </w:rPr>
        <w:t>以国、省、市级临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8"/>
        </w:rPr>
        <w:t>床重点学科(专科)建设为平台，在选派骨干</w:t>
      </w:r>
      <w:r>
        <w:rPr>
          <w:rFonts w:ascii="FangSong" w:hAnsi="FangSong" w:eastAsia="FangSong" w:cs="FangSong"/>
          <w:sz w:val="31"/>
          <w:szCs w:val="31"/>
          <w:spacing w:val="7"/>
        </w:rPr>
        <w:t>人才开展院际合作、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科学研究、学术交流、进修培训等方面优先给予支持，不断提升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4"/>
        </w:rPr>
        <w:t>人才专业技术能力，充分发挥临床重点学科(专科)建设在人才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5"/>
        </w:rPr>
        <w:t>队伍建设中的平台作用，做到人尽其才，才尽其用。</w:t>
      </w:r>
    </w:p>
    <w:p>
      <w:pPr>
        <w:ind w:firstLine="629"/>
        <w:spacing w:before="264" w:line="335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10"/>
        </w:rPr>
        <w:t>第十六条强化人才多岗位锻炼。</w:t>
      </w:r>
      <w:r>
        <w:rPr>
          <w:rFonts w:ascii="SimHei" w:hAnsi="SimHei" w:eastAsia="SimHei" w:cs="SimHei"/>
          <w:sz w:val="31"/>
          <w:szCs w:val="31"/>
          <w:spacing w:val="-23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10"/>
        </w:rPr>
        <w:t>根据人才职业发展目标和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个人意愿，支持进行多岗位锻炼。对符合条</w:t>
      </w:r>
      <w:r>
        <w:rPr>
          <w:rFonts w:ascii="FangSong" w:hAnsi="FangSong" w:eastAsia="FangSong" w:cs="FangSong"/>
          <w:sz w:val="31"/>
          <w:szCs w:val="31"/>
          <w:spacing w:val="2"/>
        </w:rPr>
        <w:t>件的，可优先选拔交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12"/>
        </w:rPr>
        <w:t>流到党政管理部门任职，选派到基层医疗机构担任“第一书记”</w:t>
      </w:r>
      <w:r>
        <w:rPr>
          <w:rFonts w:ascii="FangSong" w:hAnsi="FangSong" w:eastAsia="FangSong" w:cs="FangSong"/>
          <w:sz w:val="31"/>
          <w:szCs w:val="31"/>
          <w:spacing w:val="1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或推荐为市、区级人大代表、政协委员候选人选，着力</w:t>
      </w:r>
      <w:r>
        <w:rPr>
          <w:rFonts w:ascii="FangSong" w:hAnsi="FangSong" w:eastAsia="FangSong" w:cs="FangSong"/>
          <w:sz w:val="31"/>
          <w:szCs w:val="31"/>
          <w:spacing w:val="2"/>
        </w:rPr>
        <w:t>培养“医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疗+管理”复合型优秀人才。</w:t>
      </w:r>
    </w:p>
    <w:p>
      <w:pPr>
        <w:ind w:right="107" w:firstLine="629"/>
        <w:spacing w:before="207" w:line="33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9"/>
        </w:rPr>
        <w:t>第十七条优化人才任用机制。</w:t>
      </w:r>
      <w:r>
        <w:rPr>
          <w:rFonts w:ascii="FangSong" w:hAnsi="FangSong" w:eastAsia="FangSong" w:cs="FangSong"/>
          <w:sz w:val="31"/>
          <w:szCs w:val="31"/>
          <w:spacing w:val="9"/>
        </w:rPr>
        <w:t>注重在临床一线考察、识别、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评价、使用人才，着力构建“能上能下”的人才任用机制。建立</w:t>
      </w:r>
      <w:r>
        <w:rPr>
          <w:rFonts w:ascii="FangSong" w:hAnsi="FangSong" w:eastAsia="FangSong" w:cs="FangSong"/>
          <w:sz w:val="31"/>
          <w:szCs w:val="31"/>
          <w:spacing w:val="4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优秀人才库，对临床业务能力突出、综合表现优秀且具有一</w:t>
      </w:r>
      <w:r>
        <w:rPr>
          <w:rFonts w:ascii="FangSong" w:hAnsi="FangSong" w:eastAsia="FangSong" w:cs="FangSong"/>
          <w:sz w:val="31"/>
          <w:szCs w:val="31"/>
          <w:spacing w:val="2"/>
        </w:rPr>
        <w:t>定管</w:t>
      </w:r>
      <w:r>
        <w:rPr>
          <w:rFonts w:ascii="FangSong" w:hAnsi="FangSong" w:eastAsia="FangSong" w:cs="FangSong"/>
          <w:sz w:val="31"/>
          <w:szCs w:val="31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理经验的骨干人才予以重点关注和培养，条件成熟的优先提拔为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医院科室负责人或领导班子成员。畅通干部“下”的渠道，及时</w:t>
      </w:r>
      <w:r>
        <w:rPr>
          <w:rFonts w:ascii="FangSong" w:hAnsi="FangSong" w:eastAsia="FangSong" w:cs="FangSong"/>
          <w:sz w:val="31"/>
          <w:szCs w:val="31"/>
          <w:spacing w:val="2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3"/>
        </w:rPr>
        <w:t>调整存在不胜任岗位要求、工作作风不实、推进科室发展动力不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 </w:t>
      </w:r>
      <w:r>
        <w:rPr>
          <w:rFonts w:ascii="FangSong" w:hAnsi="FangSong" w:eastAsia="FangSong" w:cs="FangSong"/>
          <w:sz w:val="31"/>
          <w:szCs w:val="31"/>
          <w:spacing w:val="7"/>
        </w:rPr>
        <w:t>足等问题的科室负责人，做优做强领导干部队</w:t>
      </w:r>
      <w:r>
        <w:rPr>
          <w:rFonts w:ascii="FangSong" w:hAnsi="FangSong" w:eastAsia="FangSong" w:cs="FangSong"/>
          <w:sz w:val="31"/>
          <w:szCs w:val="31"/>
          <w:spacing w:val="6"/>
        </w:rPr>
        <w:t>伍建设。</w:t>
      </w:r>
    </w:p>
    <w:p>
      <w:pPr>
        <w:ind w:right="167" w:firstLine="629"/>
        <w:spacing w:before="256" w:line="308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第十八条建立高层次人才共享共用机制。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对引进的高层次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6"/>
        </w:rPr>
        <w:t>人才和</w:t>
      </w:r>
      <w:r>
        <w:rPr>
          <w:rFonts w:ascii="SimSun" w:hAnsi="SimSun" w:eastAsia="SimSun" w:cs="SimSun"/>
          <w:sz w:val="31"/>
          <w:szCs w:val="31"/>
          <w:spacing w:val="6"/>
        </w:rPr>
        <w:t>A、B、C、D、E </w:t>
      </w:r>
      <w:r>
        <w:rPr>
          <w:rFonts w:ascii="FangSong" w:hAnsi="FangSong" w:eastAsia="FangSong" w:cs="FangSong"/>
          <w:sz w:val="31"/>
          <w:szCs w:val="31"/>
          <w:spacing w:val="6"/>
        </w:rPr>
        <w:t>类人才，可在医疗集团内统筹管理</w:t>
      </w:r>
      <w:r>
        <w:rPr>
          <w:rFonts w:ascii="FangSong" w:hAnsi="FangSong" w:eastAsia="FangSong" w:cs="FangSong"/>
          <w:sz w:val="31"/>
          <w:szCs w:val="31"/>
          <w:spacing w:val="5"/>
        </w:rPr>
        <w:t>使用。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4"/>
        </w:rPr>
        <w:t>结合医疗集团内医院学科发展、临床需求以及人才队伍</w:t>
      </w:r>
      <w:r>
        <w:rPr>
          <w:rFonts w:ascii="FangSong" w:hAnsi="FangSong" w:eastAsia="FangSong" w:cs="FangSong"/>
          <w:sz w:val="31"/>
          <w:szCs w:val="31"/>
          <w:spacing w:val="3"/>
        </w:rPr>
        <w:t>建设等情</w:t>
      </w:r>
    </w:p>
    <w:p>
      <w:pPr>
        <w:spacing w:line="308" w:lineRule="auto"/>
        <w:sectPr>
          <w:footerReference w:type="default" r:id="rId9"/>
          <w:pgSz w:w="11900" w:h="16840"/>
          <w:pgMar w:top="1431" w:right="1287" w:bottom="1580" w:left="1579" w:header="0" w:footer="1126" w:gutter="0"/>
        </w:sectPr>
        <w:rPr>
          <w:rFonts w:ascii="FangSong" w:hAnsi="FangSong" w:eastAsia="FangSong" w:cs="FangSong"/>
          <w:sz w:val="31"/>
          <w:szCs w:val="31"/>
        </w:rPr>
      </w:pPr>
    </w:p>
    <w:p>
      <w:pPr>
        <w:pStyle w:val="BodyText"/>
        <w:spacing w:line="363" w:lineRule="auto"/>
        <w:rPr/>
      </w:pPr>
      <w:r/>
    </w:p>
    <w:p>
      <w:pPr>
        <w:ind w:left="409" w:right="359"/>
        <w:spacing w:before="101" w:line="361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况，通过交流聘任、定期坐诊、疑难病症会诊、学术</w:t>
      </w:r>
      <w:r>
        <w:rPr>
          <w:rFonts w:ascii="FangSong" w:hAnsi="FangSong" w:eastAsia="FangSong" w:cs="FangSong"/>
          <w:sz w:val="31"/>
          <w:szCs w:val="31"/>
          <w:spacing w:val="2"/>
        </w:rPr>
        <w:t>交流、带教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带培等形式实现在医疗、科研、教学等领域的共享共用。</w:t>
      </w:r>
    </w:p>
    <w:p>
      <w:pPr>
        <w:ind w:left="409" w:right="346" w:firstLine="639"/>
        <w:spacing w:line="33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8"/>
        </w:rPr>
        <w:t>第十九条深化薪酬制度改革。</w:t>
      </w:r>
      <w:r>
        <w:rPr>
          <w:rFonts w:ascii="SimHei" w:hAnsi="SimHei" w:eastAsia="SimHei" w:cs="SimHei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8"/>
        </w:rPr>
        <w:t>深入推进市直公立医院工分</w:t>
      </w:r>
      <w:r>
        <w:rPr>
          <w:rFonts w:ascii="FangSong" w:hAnsi="FangSong" w:eastAsia="FangSong" w:cs="FangSong"/>
          <w:sz w:val="31"/>
          <w:szCs w:val="31"/>
          <w:spacing w:val="5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制绩效分配机制，薪酬分配重点向关键和急需紧缺岗位人才、高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层次人才、业务骨干人才等进行倾斜。设立体现人才劳动特点和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岗位价值的贡献绩效、质量绩效、服务绩效等薪酬项目，更好地</w:t>
      </w:r>
      <w:r>
        <w:rPr>
          <w:rFonts w:ascii="FangSong" w:hAnsi="FangSong" w:eastAsia="FangSong" w:cs="FangSong"/>
          <w:sz w:val="31"/>
          <w:szCs w:val="31"/>
          <w:spacing w:val="6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2"/>
        </w:rPr>
        <w:t>激励人才立足岗位建功立业。</w:t>
      </w:r>
    </w:p>
    <w:p>
      <w:pPr>
        <w:ind w:left="409" w:right="244" w:firstLine="639"/>
        <w:spacing w:before="266" w:line="324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6"/>
        </w:rPr>
        <w:t>第二十条营造良好氛围</w:t>
      </w:r>
      <w:r>
        <w:rPr>
          <w:rFonts w:ascii="FangSong" w:hAnsi="FangSong" w:eastAsia="FangSong" w:cs="FangSong"/>
          <w:sz w:val="31"/>
          <w:szCs w:val="31"/>
          <w:spacing w:val="6"/>
        </w:rPr>
        <w:t>。加大对优秀人才选树和宣传力度，</w:t>
      </w:r>
      <w:r>
        <w:rPr>
          <w:rFonts w:ascii="FangSong" w:hAnsi="FangSong" w:eastAsia="FangSong" w:cs="FangSong"/>
          <w:sz w:val="31"/>
          <w:szCs w:val="31"/>
          <w:spacing w:val="1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通过医院官网、公众号等媒介，开设人才宣传专栏，大力</w:t>
      </w:r>
      <w:r>
        <w:rPr>
          <w:rFonts w:ascii="FangSong" w:hAnsi="FangSong" w:eastAsia="FangSong" w:cs="FangSong"/>
          <w:sz w:val="31"/>
          <w:szCs w:val="31"/>
          <w:spacing w:val="2"/>
        </w:rPr>
        <w:t>宣传临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床一线优秀人才，积极展示人才成果，营造尊重知识、尊重人才</w:t>
      </w:r>
      <w:r>
        <w:rPr>
          <w:rFonts w:ascii="FangSong" w:hAnsi="FangSong" w:eastAsia="FangSong" w:cs="FangSong"/>
          <w:sz w:val="31"/>
          <w:szCs w:val="31"/>
          <w:spacing w:val="8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的良好氛围，进一步增强人才荣誉感和归属感。</w:t>
      </w:r>
    </w:p>
    <w:p>
      <w:pPr>
        <w:ind w:left="409" w:right="330" w:firstLine="639"/>
        <w:spacing w:before="238" w:line="31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"/>
        </w:rPr>
        <w:t>第二十一条加强人才资金保障。</w:t>
      </w:r>
      <w:r>
        <w:rPr>
          <w:rFonts w:ascii="FangSong" w:hAnsi="FangSong" w:eastAsia="FangSong" w:cs="FangSong"/>
          <w:sz w:val="31"/>
          <w:szCs w:val="31"/>
          <w:spacing w:val="3"/>
        </w:rPr>
        <w:t>建立市直公立医院人才“引</w:t>
      </w:r>
      <w:r>
        <w:rPr>
          <w:rFonts w:ascii="FangSong" w:hAnsi="FangSong" w:eastAsia="FangSong" w:cs="FangSong"/>
          <w:sz w:val="31"/>
          <w:szCs w:val="31"/>
          <w:spacing w:val="10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育用留”资金池，由财政资金、市直公立医院人才发</w:t>
      </w:r>
      <w:r>
        <w:rPr>
          <w:rFonts w:ascii="FangSong" w:hAnsi="FangSong" w:eastAsia="FangSong" w:cs="FangSong"/>
          <w:sz w:val="31"/>
          <w:szCs w:val="31"/>
          <w:spacing w:val="2"/>
        </w:rPr>
        <w:t>展基金等共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5"/>
        </w:rPr>
        <w:t>同注入。本措施所需资金在资金池中统筹安排。</w:t>
      </w:r>
    </w:p>
    <w:p>
      <w:pPr>
        <w:ind w:left="1049"/>
        <w:spacing w:before="242" w:line="220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13"/>
        </w:rPr>
        <w:t>第二十二条本措施自公布之日起施行，有效期两年。</w:t>
      </w:r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3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p>
      <w:pPr>
        <w:spacing w:before="2"/>
        <w:rPr/>
      </w:pPr>
      <w:r/>
    </w:p>
    <w:tbl>
      <w:tblPr>
        <w:tblStyle w:val="TableNormal"/>
        <w:tblW w:w="9529" w:type="dxa"/>
        <w:tblInd w:w="0" w:type="dxa"/>
        <w:tblLayout w:type="fixed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</w:tblPr>
      <w:tblGrid>
        <w:gridCol w:w="5815"/>
        <w:gridCol w:w="3714"/>
      </w:tblGrid>
      <w:tr>
        <w:trPr>
          <w:trHeight w:val="690" w:hRule="atLeast"/>
        </w:trPr>
        <w:tc>
          <w:tcPr>
            <w:tcW w:w="5815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349"/>
              <w:spacing w:before="205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</w:rPr>
              <w:t>中共湘潭市委人才工作领导小组办公室</w:t>
            </w:r>
          </w:p>
        </w:tc>
        <w:tc>
          <w:tcPr>
            <w:tcW w:w="3714" w:type="dxa"/>
            <w:vAlign w:val="top"/>
            <w:tcBorders>
              <w:bottom w:val="single" w:color="000000" w:sz="4" w:space="0"/>
              <w:top w:val="single" w:color="000000" w:sz="4" w:space="0"/>
            </w:tcBorders>
          </w:tcPr>
          <w:p>
            <w:pPr>
              <w:ind w:left="645"/>
              <w:spacing w:before="207" w:line="219" w:lineRule="auto"/>
              <w:rPr>
                <w:rFonts w:ascii="SimSun" w:hAnsi="SimSun" w:eastAsia="SimSun" w:cs="SimSun"/>
                <w:sz w:val="29"/>
                <w:szCs w:val="29"/>
              </w:rPr>
            </w:pPr>
            <w:r>
              <w:rPr>
                <w:rFonts w:ascii="SimSun" w:hAnsi="SimSun" w:eastAsia="SimSun" w:cs="SimSun"/>
                <w:sz w:val="29"/>
                <w:szCs w:val="29"/>
                <w:spacing w:val="1"/>
              </w:rPr>
              <w:t>2024年7月4日印发</w:t>
            </w:r>
          </w:p>
        </w:tc>
      </w:tr>
    </w:tbl>
    <w:p>
      <w:pPr>
        <w:pStyle w:val="BodyText"/>
        <w:rPr/>
      </w:pPr>
      <w:r/>
    </w:p>
    <w:sectPr>
      <w:footerReference w:type="default" r:id="rId10"/>
      <w:pgSz w:w="11900" w:h="16840"/>
      <w:pgMar w:top="1431" w:right="1239" w:bottom="1580" w:left="1130" w:header="0" w:footer="112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09"/>
      <w:spacing w:line="181" w:lineRule="auto"/>
      <w:tabs>
        <w:tab w:val="left" w:pos="619"/>
      </w:tabs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z w:val="31"/>
        <w:szCs w:val="31"/>
        <w:u w:val="single" w:color="auto"/>
      </w:rPr>
      <w:tab/>
    </w:r>
    <w:r>
      <w:rPr>
        <w:rFonts w:ascii="Times New Roman" w:hAnsi="Times New Roman" w:eastAsia="Times New Roman" w:cs="Times New Roman"/>
        <w:sz w:val="31"/>
        <w:szCs w:val="31"/>
        <w:spacing w:val="-7"/>
      </w:rPr>
      <w:t xml:space="preserve"> </w:t>
    </w:r>
    <w:r>
      <w:rPr>
        <w:rFonts w:ascii="Times New Roman" w:hAnsi="Times New Roman" w:eastAsia="Times New Roman" w:cs="Times New Roman"/>
        <w:sz w:val="31"/>
        <w:szCs w:val="31"/>
        <w:spacing w:val="-4"/>
      </w:rPr>
      <w:t>2-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89"/>
      <w:spacing w:line="181" w:lineRule="auto"/>
      <w:tabs>
        <w:tab w:val="left" w:pos="7810"/>
      </w:tabs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z w:val="31"/>
        <w:szCs w:val="31"/>
        <w:u w:val="single" w:color="auto"/>
      </w:rPr>
      <w:tab/>
    </w:r>
    <w:r>
      <w:rPr>
        <w:rFonts w:ascii="Times New Roman" w:hAnsi="Times New Roman" w:eastAsia="Times New Roman" w:cs="Times New Roman"/>
        <w:sz w:val="31"/>
        <w:szCs w:val="31"/>
        <w:spacing w:val="12"/>
      </w:rPr>
      <w:t xml:space="preserve"> </w:t>
    </w:r>
    <w:r>
      <w:rPr>
        <w:rFonts w:ascii="Times New Roman" w:hAnsi="Times New Roman" w:eastAsia="Times New Roman" w:cs="Times New Roman"/>
        <w:sz w:val="31"/>
        <w:szCs w:val="31"/>
        <w:spacing w:val="-7"/>
      </w:rPr>
      <w:t>3-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319"/>
      <w:spacing w:line="181" w:lineRule="auto"/>
      <w:tabs>
        <w:tab w:val="left" w:pos="649"/>
      </w:tabs>
      <w:rPr>
        <w:rFonts w:ascii="Times New Roman" w:hAnsi="Times New Roman" w:eastAsia="Times New Roman" w:cs="Times New Roman"/>
        <w:sz w:val="31"/>
        <w:szCs w:val="31"/>
      </w:rPr>
    </w:pPr>
    <w:r>
      <w:rPr>
        <w:rFonts w:ascii="Times New Roman" w:hAnsi="Times New Roman" w:eastAsia="Times New Roman" w:cs="Times New Roman"/>
        <w:sz w:val="31"/>
        <w:szCs w:val="31"/>
        <w:u w:val="single" w:color="auto"/>
      </w:rPr>
      <w:tab/>
    </w:r>
    <w:r>
      <w:rPr>
        <w:rFonts w:ascii="Times New Roman" w:hAnsi="Times New Roman" w:eastAsia="Times New Roman" w:cs="Times New Roman"/>
        <w:sz w:val="31"/>
        <w:szCs w:val="31"/>
        <w:spacing w:val="23"/>
      </w:rPr>
      <w:t xml:space="preserve"> </w:t>
    </w:r>
    <w:r>
      <w:rPr>
        <w:rFonts w:ascii="Times New Roman" w:hAnsi="Times New Roman" w:eastAsia="Times New Roman" w:cs="Times New Roman"/>
        <w:sz w:val="31"/>
        <w:szCs w:val="31"/>
        <w:spacing w:val="-3"/>
      </w:rPr>
      <w:t>4-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489"/>
      <w:spacing w:line="234" w:lineRule="auto"/>
      <w:rPr>
        <w:rFonts w:ascii="SimSun" w:hAnsi="SimSun" w:eastAsia="SimSun" w:cs="SimSun"/>
        <w:sz w:val="35"/>
        <w:szCs w:val="35"/>
      </w:rPr>
    </w:pPr>
    <w:r>
      <w:rPr>
        <w:rFonts w:ascii="SimSun" w:hAnsi="SimSun" w:eastAsia="SimSun" w:cs="SimSun"/>
        <w:sz w:val="35"/>
        <w:szCs w:val="35"/>
        <w:spacing w:val="-4"/>
      </w:rPr>
      <w:t>—5—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689"/>
      <w:spacing w:line="234" w:lineRule="auto"/>
      <w:rPr>
        <w:rFonts w:ascii="SimSun" w:hAnsi="SimSun" w:eastAsia="SimSun" w:cs="SimSun"/>
        <w:sz w:val="35"/>
        <w:szCs w:val="35"/>
      </w:rPr>
    </w:pPr>
    <w:r>
      <w:rPr>
        <w:rFonts w:ascii="SimSun" w:hAnsi="SimSun" w:eastAsia="SimSun" w:cs="SimSun"/>
        <w:sz w:val="35"/>
        <w:szCs w:val="35"/>
        <w:spacing w:val="-4"/>
      </w:rPr>
      <w:t>—6—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4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image" Target="media/image5.png"/><Relationship Id="rId5" Type="http://schemas.openxmlformats.org/officeDocument/2006/relationships/footer" Target="footer1.xml"/><Relationship Id="rId4" Type="http://schemas.openxmlformats.org/officeDocument/2006/relationships/image" Target="media/image4.png"/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3" Type="http://schemas.openxmlformats.org/officeDocument/2006/relationships/fontTable" Target="fontTable.xml"/><Relationship Id="rId12" Type="http://schemas.openxmlformats.org/officeDocument/2006/relationships/styles" Target="styles.xml"/><Relationship Id="rId11" Type="http://schemas.openxmlformats.org/officeDocument/2006/relationships/settings" Target="settings.xml"/><Relationship Id="rId10" Type="http://schemas.openxmlformats.org/officeDocument/2006/relationships/footer" Target="footer5.xml"/><Relationship Id="rId1" Type="http://schemas.openxmlformats.org/officeDocument/2006/relationships/image" Target="media/image1.png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2025-03-20T11:34:55Z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2025-03-20T11:34:55</vt:filetime>
  </property>
  <property fmtid="{D5CDD505-2E9C-101B-9397-08002B2CF9AE}" pid="4" name="UsrData">
    <vt:lpwstr>67db8cdc1087f5001f80ea3awl</vt:lpwstr>
  </property>
</Properties>
</file>